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8812" w14:textId="77777777" w:rsidR="002D5C0E" w:rsidRDefault="004A3215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3799288" wp14:editId="09F72CF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0B29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p w14:paraId="40E1D7AC" w14:textId="77777777" w:rsidR="002D5C0E" w:rsidRDefault="004A32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331BA8AB" w14:textId="77777777" w:rsidR="002D5C0E" w:rsidRDefault="004A32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7227F6A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2D5C0E" w14:paraId="65014E8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07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24BD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D5C0E" w14:paraId="5BD6140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C7FC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0AEE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2D5C0E" w14:paraId="7802B1A0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933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B03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2D5C0E" w14:paraId="15180FF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88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13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2D5C0E" w14:paraId="099DB3A5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D6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C6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2D5C0E" w14:paraId="44FD89F1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4D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23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Pedagogický klub finančnej a matematickej gramotnosti -prierezové témy.</w:t>
            </w:r>
          </w:p>
        </w:tc>
      </w:tr>
      <w:tr w:rsidR="002D5C0E" w14:paraId="43D9890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D19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D2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6</w:t>
            </w:r>
          </w:p>
        </w:tc>
      </w:tr>
      <w:tr w:rsidR="002D5C0E" w14:paraId="037D15B9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E6C6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39F" w14:textId="189DA326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5C1596">
              <w:t>2</w:t>
            </w:r>
            <w:r>
              <w:t>.202</w:t>
            </w:r>
            <w:r w:rsidR="005C1596">
              <w:t>2</w:t>
            </w:r>
            <w:r>
              <w:t>-3</w:t>
            </w:r>
            <w:r w:rsidR="005C1596">
              <w:t>0</w:t>
            </w:r>
            <w:r>
              <w:t>.0</w:t>
            </w:r>
            <w:r w:rsidR="005C1596">
              <w:t>6</w:t>
            </w:r>
            <w:r>
              <w:t>.202</w:t>
            </w:r>
            <w:r w:rsidR="0082723A">
              <w:t>2</w:t>
            </w:r>
          </w:p>
        </w:tc>
      </w:tr>
    </w:tbl>
    <w:p w14:paraId="70B71087" w14:textId="77777777" w:rsidR="002D5C0E" w:rsidRDefault="002D5C0E">
      <w:pPr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2D5C0E" w14:paraId="1FC2D8B9" w14:textId="77777777">
        <w:trPr>
          <w:trHeight w:val="64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F5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Opis/zameranie a zdôvodnenie činností pedagogického klubu: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AD361E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021FBA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87DBBE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finančnej a matematickej  gramotnosti– prierezové témy je vytvorený učiteľmi všeobecno-vzdelávacích, odborných predmetov a OV, ktorí sa stretávajú s témou finančnej gramotnosti a matematickej gramotnosti vo výučbe svojho predmetu, ako prierezovej témy. </w:t>
            </w:r>
          </w:p>
          <w:p w14:paraId="2005D234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1A5DE7FD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klub: pedagogický klub s výstupmi.</w:t>
            </w:r>
          </w:p>
          <w:p w14:paraId="1F99993F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98D28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1BD1CB02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zameriavať na rozvoj finančnej gramotnosti v rámci odborného vzdelávania a prípravy na povolanie, ako prierezovej témy a tiež matematickej gramotnosti v bežnom živote. </w:t>
            </w:r>
          </w:p>
          <w:p w14:paraId="5A65BB28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finančnej gramotnosti žiakov naprieč vzdelávaním.</w:t>
            </w:r>
          </w:p>
          <w:p w14:paraId="0BC9C68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D2BA9B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Finančná gramotnosť</w:t>
            </w:r>
            <w:r>
              <w:rPr>
                <w:rFonts w:ascii="Times New Roman" w:hAnsi="Times New Roman"/>
              </w:rPr>
              <w:t xml:space="preserve"> je dôležitou (kľúčovou) schopnosťou žiaka a nevyhnutným predpokladom pre ďalší úspešný osobnostný a profesijný rast žiaka. </w:t>
            </w:r>
          </w:p>
          <w:p w14:paraId="6D4DACA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</w:t>
            </w:r>
            <w:proofErr w:type="spellStart"/>
            <w:r>
              <w:rPr>
                <w:rFonts w:ascii="Times New Roman" w:hAnsi="Times New Roman"/>
              </w:rPr>
              <w:t>úspešnu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realizáciu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finančného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vzdelávania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najdôležitejšie</w:t>
            </w:r>
            <w:proofErr w:type="spellEnd"/>
            <w:r>
              <w:rPr>
                <w:rFonts w:ascii="Times New Roman" w:hAnsi="Times New Roman"/>
              </w:rPr>
              <w:t xml:space="preserve"> porozumenie podstate </w:t>
            </w:r>
            <w:proofErr w:type="spellStart"/>
            <w:r>
              <w:rPr>
                <w:rFonts w:ascii="Times New Roman" w:hAnsi="Times New Roman"/>
              </w:rPr>
              <w:t>finančnej</w:t>
            </w:r>
            <w:proofErr w:type="spellEnd"/>
            <w:r>
              <w:rPr>
                <w:rFonts w:ascii="Times New Roman" w:hAnsi="Times New Roman"/>
              </w:rPr>
              <w:t xml:space="preserve"> gramotnosti. NŠFG (Národný štandard finančnej gramotnosti)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>̌ ako „</w:t>
            </w:r>
            <w:proofErr w:type="spellStart"/>
            <w:r>
              <w:rPr>
                <w:rFonts w:ascii="Times New Roman" w:hAnsi="Times New Roman"/>
              </w:rPr>
              <w:t>schopnost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poznatky, </w:t>
            </w:r>
            <w:proofErr w:type="spellStart"/>
            <w:r>
              <w:rPr>
                <w:rFonts w:ascii="Times New Roman" w:hAnsi="Times New Roman"/>
              </w:rPr>
              <w:t>zručnosti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skúsenosti</w:t>
            </w:r>
            <w:proofErr w:type="spellEnd"/>
            <w:r>
              <w:rPr>
                <w:rFonts w:ascii="Times New Roman" w:hAnsi="Times New Roman"/>
              </w:rPr>
              <w:t xml:space="preserve"> na </w:t>
            </w:r>
            <w:proofErr w:type="spellStart"/>
            <w:r>
              <w:rPr>
                <w:rFonts w:ascii="Times New Roman" w:hAnsi="Times New Roman"/>
              </w:rPr>
              <w:t>efektívne</w:t>
            </w:r>
            <w:proofErr w:type="spellEnd"/>
            <w:r>
              <w:rPr>
                <w:rFonts w:ascii="Times New Roman" w:hAnsi="Times New Roman"/>
              </w:rPr>
              <w:t xml:space="preserve"> riadenie </w:t>
            </w:r>
            <w:proofErr w:type="spellStart"/>
            <w:r>
              <w:rPr>
                <w:rFonts w:ascii="Times New Roman" w:hAnsi="Times New Roman"/>
              </w:rPr>
              <w:t>vlastných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zdrojov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osvojit</w:t>
            </w:r>
            <w:proofErr w:type="spellEnd"/>
            <w:r>
              <w:rPr>
                <w:rFonts w:ascii="Times New Roman" w:hAnsi="Times New Roman"/>
              </w:rPr>
              <w:t xml:space="preserve">̌ si zodpovedné </w:t>
            </w:r>
            <w:proofErr w:type="spellStart"/>
            <w:r>
              <w:rPr>
                <w:rFonts w:ascii="Times New Roman" w:hAnsi="Times New Roman"/>
              </w:rPr>
              <w:t>celoživotne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finančne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správanie</w:t>
            </w:r>
            <w:proofErr w:type="spellEnd"/>
            <w:r>
              <w:rPr>
                <w:rFonts w:ascii="Times New Roman" w:hAnsi="Times New Roman"/>
              </w:rPr>
              <w:t xml:space="preserve">.“ </w:t>
            </w:r>
            <w:proofErr w:type="spellStart"/>
            <w:r>
              <w:rPr>
                <w:rFonts w:ascii="Times New Roman" w:hAnsi="Times New Roman"/>
              </w:rPr>
              <w:t>Medzinárodna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štúdia</w:t>
            </w:r>
            <w:proofErr w:type="spellEnd"/>
            <w:r>
              <w:rPr>
                <w:rFonts w:ascii="Times New Roman" w:hAnsi="Times New Roman"/>
              </w:rPr>
              <w:t xml:space="preserve"> PISA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 xml:space="preserve">̌ ako </w:t>
            </w:r>
            <w:proofErr w:type="spellStart"/>
            <w:r>
              <w:rPr>
                <w:rFonts w:ascii="Times New Roman" w:hAnsi="Times New Roman"/>
              </w:rPr>
              <w:t>znalost</w:t>
            </w:r>
            <w:proofErr w:type="spellEnd"/>
            <w:r>
              <w:rPr>
                <w:rFonts w:ascii="Times New Roman" w:hAnsi="Times New Roman"/>
              </w:rPr>
              <w:t xml:space="preserve">̌ a pochopenie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pojmov a </w:t>
            </w:r>
            <w:proofErr w:type="spellStart"/>
            <w:r>
              <w:rPr>
                <w:rFonts w:ascii="Times New Roman" w:hAnsi="Times New Roman"/>
              </w:rPr>
              <w:t>rizík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́ to schopnosti, </w:t>
            </w:r>
            <w:proofErr w:type="spellStart"/>
            <w:r>
              <w:rPr>
                <w:rFonts w:ascii="Times New Roman" w:hAnsi="Times New Roman"/>
              </w:rPr>
              <w:t>motivácia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asebadôvera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získane</w:t>
            </w:r>
            <w:proofErr w:type="spellEnd"/>
            <w:r>
              <w:rPr>
                <w:rFonts w:ascii="Times New Roman" w:hAnsi="Times New Roman"/>
              </w:rPr>
              <w:t xml:space="preserve">́ vedomosti za </w:t>
            </w:r>
            <w:proofErr w:type="spellStart"/>
            <w:r>
              <w:rPr>
                <w:rFonts w:ascii="Times New Roman" w:hAnsi="Times New Roman"/>
              </w:rPr>
              <w:t>účelom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vykonávania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efektívnych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rozhodnuti</w:t>
            </w:r>
            <w:proofErr w:type="spellEnd"/>
            <w:r>
              <w:rPr>
                <w:rFonts w:ascii="Times New Roman" w:hAnsi="Times New Roman"/>
              </w:rPr>
              <w:t xml:space="preserve">́ v celom rade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súvislosti</w:t>
            </w:r>
            <w:proofErr w:type="spellEnd"/>
            <w:r>
              <w:rPr>
                <w:rFonts w:ascii="Times New Roman" w:hAnsi="Times New Roman"/>
              </w:rPr>
              <w:t xml:space="preserve">́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zlepšit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situáciu</w:t>
            </w:r>
            <w:proofErr w:type="spellEnd"/>
            <w:r>
              <w:rPr>
                <w:rFonts w:ascii="Times New Roman" w:hAnsi="Times New Roman"/>
              </w:rPr>
              <w:t xml:space="preserve"> jednotlivca i </w:t>
            </w:r>
            <w:proofErr w:type="spellStart"/>
            <w:r>
              <w:rPr>
                <w:rFonts w:ascii="Times New Roman" w:hAnsi="Times New Roman"/>
              </w:rPr>
              <w:t>spoločnosti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tým</w:t>
            </w:r>
            <w:proofErr w:type="spellEnd"/>
            <w:r>
              <w:rPr>
                <w:rFonts w:ascii="Times New Roman" w:hAnsi="Times New Roman"/>
              </w:rPr>
              <w:t xml:space="preserve"> im </w:t>
            </w:r>
            <w:proofErr w:type="spellStart"/>
            <w:r>
              <w:rPr>
                <w:rFonts w:ascii="Times New Roman" w:hAnsi="Times New Roman"/>
              </w:rPr>
              <w:t>umožnit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účast</w:t>
            </w:r>
            <w:proofErr w:type="spellEnd"/>
            <w:r>
              <w:rPr>
                <w:rFonts w:ascii="Times New Roman" w:hAnsi="Times New Roman"/>
              </w:rPr>
              <w:t xml:space="preserve">̌ na ekonomickom </w:t>
            </w:r>
            <w:proofErr w:type="spellStart"/>
            <w:r>
              <w:rPr>
                <w:rFonts w:ascii="Times New Roman" w:hAnsi="Times New Roman"/>
              </w:rPr>
              <w:t>diani</w:t>
            </w:r>
            <w:proofErr w:type="spellEnd"/>
            <w:r>
              <w:rPr>
                <w:rFonts w:ascii="Times New Roman" w:hAnsi="Times New Roman"/>
              </w:rPr>
              <w:t xml:space="preserve">́. </w:t>
            </w:r>
          </w:p>
          <w:p w14:paraId="57E5E63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BE0B46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činnosti pedagogického klubu sa zaoberáme najefektívnejšími metódami a stratégiami pre </w:t>
            </w:r>
            <w:r>
              <w:rPr>
                <w:rFonts w:ascii="Times New Roman" w:hAnsi="Times New Roman"/>
              </w:rPr>
              <w:lastRenderedPageBreak/>
              <w:t xml:space="preserve">rozvoj finančnej gramotnosti. </w:t>
            </w:r>
          </w:p>
          <w:p w14:paraId="7AC34BD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Vychádzame z identifikovaných potrieb odborného vzdelávania a prípravy v tejto oblasti, ako sú:</w:t>
            </w:r>
          </w:p>
          <w:p w14:paraId="3141D8B7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prakticky používať informácie z oblasti finančnej gramotnosti- v konkrétnych situáciách,</w:t>
            </w:r>
          </w:p>
          <w:p w14:paraId="4623BB53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aplikovať vedomosti o zákonitostiach, zásadách, procesoch, normách a všeobecných pojmoch z finančnej gramotnosti v širších súvislostiach,</w:t>
            </w:r>
          </w:p>
          <w:p w14:paraId="63D626A2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monitorovať, analyzovať, plánovať, organizovať a vyhodnocovať konkrétne pracovné postupy s ohľadom na efektívnosť, finančnú náročnosť a hospodárnosť.</w:t>
            </w:r>
          </w:p>
          <w:p w14:paraId="2994F9A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3397B17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Finančná gramotnosť  zvyšuje a pozitívne vplýva na rozvoj matematickej gramotnosti žiaka. Odstraňuje bezduché </w:t>
            </w:r>
            <w:proofErr w:type="spellStart"/>
            <w:r>
              <w:rPr>
                <w:rFonts w:ascii="Times New Roman" w:hAnsi="Times New Roman"/>
              </w:rPr>
              <w:t>drilovanie</w:t>
            </w:r>
            <w:proofErr w:type="spellEnd"/>
            <w:r>
              <w:rPr>
                <w:rFonts w:ascii="Times New Roman" w:hAnsi="Times New Roman"/>
              </w:rPr>
              <w:t xml:space="preserve"> od pamäťového učenia sa s porozumením.</w:t>
            </w:r>
          </w:p>
          <w:p w14:paraId="5F3406E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9F8EA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Matematická gramotnosť</w:t>
            </w:r>
            <w:r>
              <w:rPr>
                <w:rFonts w:ascii="Times New Roman" w:hAnsi="Times New Roman"/>
              </w:rPr>
              <w:t xml:space="preserve"> spočíva:</w:t>
            </w:r>
          </w:p>
          <w:p w14:paraId="0D4F38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porozumení rôznym typom matematického textu (symbolický, slovný, obrázok, graf, tabuľka) a v aktívnom používaní a dotváraní rôznych matematických jazykov, </w:t>
            </w:r>
          </w:p>
          <w:p w14:paraId="33271336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 schopnosti získavať a triediť matematické skúseností pomocou vlastnej manipulatívnej a špekulatívnej (bádateľskej) činnosti. Matematické schopnosti najlepšie mapujú úlohy, ktoré vedú žiaka k získavaniu čiastkových výsledkov, z ktorých pomocou vhodne zvolenej organizácie údajov (tabuľka, graf, usporiadanie) dôjde  k všeobecnému poznaniu. </w:t>
            </w:r>
          </w:p>
          <w:p w14:paraId="7D18BE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  tvorení modelov a protikladov, v rozvoji schopnosti správne argumentovať, </w:t>
            </w:r>
          </w:p>
          <w:p w14:paraId="3940FFB3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schopnosti účinne pracovať s chybou, ako podnetom k hlbšiemu pochopeniu skúmanej problematiky,</w:t>
            </w:r>
          </w:p>
          <w:p w14:paraId="0D9E4860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schopnosti individuálne i v diskusii analyzovať procesy, pojmy, vzťahy a situácie v oblasti matematiky,</w:t>
            </w:r>
          </w:p>
          <w:p w14:paraId="0C4B5642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 schopnosti vytvárať systém v budovaní pojmov a identifikácii vzťahov medzi nimi.</w:t>
            </w:r>
          </w:p>
          <w:p w14:paraId="4138CB1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3AD4E6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činnosti nášho pedagogického klubu je vytvárať inovatívne materiály,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OPS, zdieľa skúseností, vymieňať si názory v oblasti rozvoja matematickej a finančnej gramotnosti žiakov. </w:t>
            </w:r>
          </w:p>
          <w:p w14:paraId="14A1B40B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A84CAE3" w14:textId="77777777" w:rsidR="002D5C0E" w:rsidRDefault="002D5C0E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68257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aj naďalej realizované v rámci pedagogického klubu:</w:t>
            </w:r>
          </w:p>
          <w:p w14:paraId="7D72B04E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33E28B42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1505449C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0625E227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76619E99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1A0E48C6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310A8AB4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finančnej a matematickej gramotnosti žiakov a možné riešenia.</w:t>
            </w:r>
          </w:p>
          <w:p w14:paraId="7C77ECC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2D5C0E" w14:paraId="6B0F96B5" w14:textId="77777777">
        <w:trPr>
          <w:trHeight w:val="5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9A2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8EBD0CB" w14:textId="77777777" w:rsidR="002D5C0E" w:rsidRDefault="002D5C0E">
      <w:pPr>
        <w:tabs>
          <w:tab w:val="left" w:pos="1114"/>
        </w:tabs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8"/>
        <w:gridCol w:w="1546"/>
        <w:gridCol w:w="1438"/>
        <w:gridCol w:w="1363"/>
        <w:gridCol w:w="1783"/>
        <w:gridCol w:w="2245"/>
      </w:tblGrid>
      <w:tr w:rsidR="002D5C0E" w14:paraId="104867B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39B5D8BC" w14:textId="151865DE" w:rsidR="002D5C0E" w:rsidRDefault="004A32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</w:tr>
      <w:tr w:rsidR="002D5C0E" w14:paraId="22BEC00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44C05D0E" w14:textId="003BECAD" w:rsidR="002D5C0E" w:rsidRDefault="005C15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4A321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2D5C0E" w14:paraId="1EBE31D3" w14:textId="77777777" w:rsidTr="00701987">
        <w:trPr>
          <w:trHeight w:val="6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DA5DA9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47D2F0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744A62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565B8E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033B25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700A4C6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5C1596" w14:paraId="7FC009A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22BB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30074" w14:textId="4775F3C2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 február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5358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3B47B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 SSOŠ ELBA,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F9D80" w14:textId="4BB108A8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Skupinová práca a jej vplyv na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rozvoj finančnej a matematickej gramotnosti žiaka.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BAA5A" w14:textId="77777777" w:rsidR="005C1596" w:rsidRPr="00772039" w:rsidRDefault="005C1596" w:rsidP="005C159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Pojmotvorné ukotvenie, analýza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rôznych typov skupinovej práce zdieľanie názorov, diskusia.</w:t>
            </w:r>
          </w:p>
          <w:p w14:paraId="51E600F8" w14:textId="61A5E128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5C1596" w14:paraId="2DDB1CFB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2FAC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7865E" w14:textId="13152682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16. február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A966B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971A4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99A91" w14:textId="5B48C8D9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Skupinová práca a jej vplyv na rozvoj finančnej a matematickej gramotnosti žiaka.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B5510" w14:textId="58DE0993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Expertné skupiny, diskusia.</w:t>
            </w:r>
          </w:p>
        </w:tc>
      </w:tr>
      <w:tr w:rsidR="005C1596" w14:paraId="707D4AD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9EAD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365B" w14:textId="5F135ACA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2CF4"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marca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0FCEE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3EEF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30531" w14:textId="0F8EF9C6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OPS v danej oblasti.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20FD" w14:textId="51AE3490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OPS v danej oblasti. Diskusia, zdieľanie skúseností.</w:t>
            </w:r>
          </w:p>
        </w:tc>
      </w:tr>
      <w:tr w:rsidR="005C1596" w14:paraId="47CC4BC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395C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B4B12" w14:textId="2DC2E92B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23. marca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BEAC5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  <w:p w14:paraId="05CA83B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C294C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92153" w14:textId="1CF0F56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Prezentácia OPS súvisiacich so zvyšovaním úrovne finančnej a matematickej gramotnosti.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04964" w14:textId="009D8BEF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Zdieľanie OPS, diskusia, argumentácia.</w:t>
            </w:r>
          </w:p>
        </w:tc>
      </w:tr>
      <w:tr w:rsidR="005C1596" w14:paraId="670B5DE9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0CCF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9150D" w14:textId="2977F183" w:rsidR="005C1596" w:rsidRDefault="007F13EC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 apríl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961DF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AEC932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65BFE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3FFC8" w14:textId="2E1A843C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Projektová vyučovacia metóda a jej vplyv na rozvoj predmetných gramotnosti žiaka.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873B3" w14:textId="71ABA4BD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Pojmotvorné ukotvenie, diskusia.</w:t>
            </w:r>
          </w:p>
        </w:tc>
      </w:tr>
      <w:tr w:rsidR="005C1596" w14:paraId="739812AD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A337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83A37" w14:textId="7978EEBA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20. apríl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E238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0F5B9D4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E6AE17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18B6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2578" w14:textId="6D5FF309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Dlhy a ako im predchádzať pri profesijnom uplatnení. Výpočet maximálnej (bezpečnej) výšky splátky, príprava  úloh a námetov z bežného života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03CC5" w14:textId="1165550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námetov,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výučba a jej možnosti riešiť danú problematiku.</w:t>
            </w:r>
          </w:p>
        </w:tc>
      </w:tr>
      <w:tr w:rsidR="005C1596" w14:paraId="5353B192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122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DE99D" w14:textId="75E36A8A" w:rsidR="005C1596" w:rsidRDefault="004C2CF4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máj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7F1B8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EB0F6D7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5FA452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C126E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BEC50" w14:textId="512135A2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Dlhy a ako im predchádzať pri profesijnom uplatnení.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5978C" w14:textId="3E01C4AE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námetov,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výučba a jej možnosti riešiť danú problematiku.</w:t>
            </w:r>
          </w:p>
        </w:tc>
      </w:tr>
      <w:tr w:rsidR="005C1596" w14:paraId="13BB8228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1477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DFEAE" w14:textId="00B807E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2CF4">
              <w:rPr>
                <w:rFonts w:ascii="Times New Roman" w:hAnsi="Times New Roman"/>
                <w:color w:val="000000"/>
                <w:lang w:eastAsia="sk-SK"/>
              </w:rPr>
              <w:t>25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máj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0572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10ECCD10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7839A61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C6649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0DB72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8BCF2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5EF7" w14:textId="7552FC9B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Dlhy a ako im predchádzať pri profesijnom uplatnení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8F569" w14:textId="3D1F4C83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námetov,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výučba a jej možnosti riešiť danú problematiku.</w:t>
            </w:r>
          </w:p>
        </w:tc>
      </w:tr>
      <w:tr w:rsidR="005C1596" w14:paraId="71D43385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F72D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2722" w14:textId="195F289F" w:rsidR="005C1596" w:rsidRDefault="004C2CF4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jún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F626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11015DB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1232462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37BBCA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12C00D0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027E988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6C234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4F66A" w14:textId="16C63285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Tvorivá dielnička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E4330" w14:textId="5405134B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a otvorený priestor pre nápady a kreativitu členov klubu z oblasti finančnej gramotnosti.</w:t>
            </w:r>
          </w:p>
        </w:tc>
      </w:tr>
      <w:tr w:rsidR="005C1596" w14:paraId="5DF7F3D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6029" w14:textId="77777777" w:rsidR="005C1596" w:rsidRDefault="005C1596" w:rsidP="005C15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05FE" w14:textId="67E415EC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C2CF4">
              <w:rPr>
                <w:rFonts w:ascii="Times New Roman" w:hAnsi="Times New Roman"/>
                <w:color w:val="000000"/>
                <w:lang w:eastAsia="sk-SK"/>
              </w:rPr>
              <w:t>22</w:t>
            </w:r>
            <w:r w:rsidR="007F13EC">
              <w:rPr>
                <w:rFonts w:ascii="Times New Roman" w:hAnsi="Times New Roman"/>
                <w:color w:val="000000"/>
                <w:lang w:eastAsia="sk-SK"/>
              </w:rPr>
              <w:t>. jún 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1E047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4B25D923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7E949" w14:textId="77777777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 SSOŠ ELBA,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D59A0" w14:textId="69406F0B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Výstup pedagogického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klubu.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45399" w14:textId="1F5ED030" w:rsidR="005C1596" w:rsidRDefault="005C1596" w:rsidP="005C15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Diskusia k výstupu, zdieľanie názorov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a postojov.</w:t>
            </w:r>
          </w:p>
        </w:tc>
      </w:tr>
    </w:tbl>
    <w:p w14:paraId="0C516D99" w14:textId="77777777" w:rsidR="002D5C0E" w:rsidRDefault="002D5C0E">
      <w:pPr>
        <w:tabs>
          <w:tab w:val="left" w:pos="1114"/>
        </w:tabs>
      </w:pPr>
    </w:p>
    <w:p w14:paraId="2AE643CD" w14:textId="77777777" w:rsidR="002D5C0E" w:rsidRDefault="004A3215">
      <w:pPr>
        <w:tabs>
          <w:tab w:val="left" w:pos="1114"/>
        </w:tabs>
      </w:pPr>
      <w:r>
        <w:tab/>
      </w:r>
    </w:p>
    <w:p w14:paraId="5EC3D24F" w14:textId="77777777" w:rsidR="002D5C0E" w:rsidRDefault="002D5C0E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2D5C0E" w14:paraId="56B31BEA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B7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041" w14:textId="7D0DB907" w:rsidR="002D5C0E" w:rsidRDefault="004C2CF4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Tatiana Šefčíková</w:t>
            </w:r>
          </w:p>
        </w:tc>
      </w:tr>
      <w:tr w:rsidR="002D5C0E" w14:paraId="773361A3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2BB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7CB" w14:textId="7FDF5DF9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5C1596">
              <w:t>0</w:t>
            </w:r>
            <w:r>
              <w:t>.0</w:t>
            </w:r>
            <w:r w:rsidR="005C1596">
              <w:t>6</w:t>
            </w:r>
            <w:r>
              <w:t>.202</w:t>
            </w:r>
            <w:r w:rsidR="0082723A">
              <w:t>2</w:t>
            </w:r>
          </w:p>
        </w:tc>
      </w:tr>
      <w:tr w:rsidR="002D5C0E" w14:paraId="182B6AA9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194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6BE0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2D5C0E" w14:paraId="74694E78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9A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7B7" w14:textId="3EC675F9" w:rsidR="002D5C0E" w:rsidRDefault="005C1596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>
              <w:t>, MBA</w:t>
            </w:r>
          </w:p>
        </w:tc>
      </w:tr>
      <w:tr w:rsidR="002D5C0E" w14:paraId="4505FA7F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D6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869" w14:textId="067A7D41" w:rsidR="002D5C0E" w:rsidRDefault="007F13EC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30. 6. 2022</w:t>
            </w:r>
          </w:p>
        </w:tc>
      </w:tr>
      <w:tr w:rsidR="002D5C0E" w14:paraId="6EB41362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8A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77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0D587C0F" w14:textId="77777777" w:rsidR="002D5C0E" w:rsidRDefault="002D5C0E">
      <w:pPr>
        <w:tabs>
          <w:tab w:val="left" w:pos="1114"/>
        </w:tabs>
      </w:pPr>
    </w:p>
    <w:p w14:paraId="169BFCD4" w14:textId="77777777" w:rsidR="002D5C0E" w:rsidRDefault="002D5C0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93F1F63" w14:textId="77777777" w:rsidR="002D5C0E" w:rsidRDefault="004A3215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Plánu práce/pracovných činností pedagogického klubu:</w:t>
      </w:r>
    </w:p>
    <w:p w14:paraId="05A41905" w14:textId="77777777" w:rsidR="002D5C0E" w:rsidRDefault="002D5C0E">
      <w:pPr>
        <w:tabs>
          <w:tab w:val="left" w:pos="1114"/>
        </w:tabs>
        <w:rPr>
          <w:rFonts w:ascii="Times New Roman" w:hAnsi="Times New Roman"/>
        </w:rPr>
      </w:pPr>
    </w:p>
    <w:p w14:paraId="036098A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2BCC1ABA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riadok bude vyplnený v zmysle výzvy</w:t>
      </w:r>
    </w:p>
    <w:p w14:paraId="502A1AE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7A57C944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o NFP, nepoužíva sa skrátený názov projektu </w:t>
      </w:r>
    </w:p>
    <w:p w14:paraId="14D1275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o NFP</w:t>
      </w:r>
    </w:p>
    <w:p w14:paraId="36E0301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„klub“)– uvedie sa  názov klubu </w:t>
      </w:r>
    </w:p>
    <w:p w14:paraId="51A2C91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Počet členov pedagogického klubu -  uvedie sa počet členov klubu (min.3 a max.10)</w:t>
      </w:r>
    </w:p>
    <w:p w14:paraId="6D0A2BA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Školský polrok -  výber z dvoch možnosti: vypĺňa sa za každý polrok zvlášť</w:t>
      </w:r>
    </w:p>
    <w:p w14:paraId="3A3AC3B9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RRRR – január RRRR </w:t>
      </w:r>
    </w:p>
    <w:p w14:paraId="7B736074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február RRRR – jún RRRR </w:t>
      </w:r>
    </w:p>
    <w:p w14:paraId="14483097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Opis/zameranie a zdôvodnenie činností klubu –  vychádza zo zmluvy o NFP – predmetu podpory</w:t>
      </w:r>
    </w:p>
    <w:p w14:paraId="307CBA7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Rámcový program a termíny a dĺžka trvania jednotlivých stretnutí – uvedie sa konkrétny program/hlavné témy na jednotlivé plánované stretnutia v danom školskom polroku; termín realizácie zasadnutí klubu a ich trvanie. Klub sa stretáva maximálne dvakrát mesačne. Dĺžka jedného stretnutia klubu je max. 3 hodiny. </w:t>
      </w:r>
    </w:p>
    <w:p w14:paraId="3C09539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plán práce klubu vypracovala  </w:t>
      </w:r>
    </w:p>
    <w:p w14:paraId="4CD9DB0B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14:paraId="5CB51E7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vypracovala sa vlastnoručne   podpíše</w:t>
      </w:r>
    </w:p>
    <w:p w14:paraId="2B5FBE63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plán práce klubu schválila (/koordinátor klubu/vedúci klubu učiteľov) </w:t>
      </w:r>
    </w:p>
    <w:p w14:paraId="1317A40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plán práce klubu </w:t>
      </w:r>
    </w:p>
    <w:p w14:paraId="0CFD3029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schválila sa vlastnoručne podpíše.</w:t>
      </w:r>
    </w:p>
    <w:p w14:paraId="682D5987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ED07892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EAE3B6E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D2A9BE3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6AB44C1" w14:textId="77777777" w:rsidR="002D5C0E" w:rsidRDefault="002D5C0E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2D5C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E2F"/>
    <w:multiLevelType w:val="multilevel"/>
    <w:tmpl w:val="419A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87A2D"/>
    <w:multiLevelType w:val="multilevel"/>
    <w:tmpl w:val="B9848BAE"/>
    <w:lvl w:ilvl="0">
      <w:start w:val="1"/>
      <w:numFmt w:val="bullet"/>
      <w:lvlText w:val="o"/>
      <w:lvlJc w:val="left"/>
      <w:pPr>
        <w:tabs>
          <w:tab w:val="num" w:pos="720"/>
        </w:tabs>
        <w:ind w:left="14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14761"/>
    <w:multiLevelType w:val="multilevel"/>
    <w:tmpl w:val="47F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466519"/>
    <w:multiLevelType w:val="multilevel"/>
    <w:tmpl w:val="7020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4941F7"/>
    <w:multiLevelType w:val="multilevel"/>
    <w:tmpl w:val="CCDCC29C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F240D3"/>
    <w:multiLevelType w:val="multilevel"/>
    <w:tmpl w:val="4C2EF016"/>
    <w:lvl w:ilvl="0">
      <w:start w:val="1"/>
      <w:numFmt w:val="bullet"/>
      <w:lvlText w:val=""/>
      <w:lvlJc w:val="left"/>
      <w:pPr>
        <w:tabs>
          <w:tab w:val="num" w:pos="72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B83FB8"/>
    <w:multiLevelType w:val="multilevel"/>
    <w:tmpl w:val="8626E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E"/>
    <w:rsid w:val="002D5C0E"/>
    <w:rsid w:val="004A3215"/>
    <w:rsid w:val="004C2CF4"/>
    <w:rsid w:val="005C1596"/>
    <w:rsid w:val="00701987"/>
    <w:rsid w:val="007F13EC"/>
    <w:rsid w:val="0082723A"/>
    <w:rsid w:val="00A3108E"/>
    <w:rsid w:val="00A75DCF"/>
    <w:rsid w:val="00B834DD"/>
    <w:rsid w:val="00D03E13"/>
    <w:rsid w:val="00D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9C4"/>
  <w15:docId w15:val="{EFD2E81C-9277-2042-9412-2D4984A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446542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446542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446542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44654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446542"/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Šefčíkova Tatiana</cp:lastModifiedBy>
  <cp:revision>2</cp:revision>
  <cp:lastPrinted>2022-06-30T10:52:00Z</cp:lastPrinted>
  <dcterms:created xsi:type="dcterms:W3CDTF">2022-08-26T13:03:00Z</dcterms:created>
  <dcterms:modified xsi:type="dcterms:W3CDTF">2022-08-26T13:03:00Z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