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27</w:t>
            </w:r>
            <w:bookmarkStart w:id="0" w:name="_GoBack"/>
            <w:bookmarkEnd w:id="0"/>
            <w:r>
              <w:rPr/>
              <w:t>. apríl 2021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SOŠ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výmena skúseností na tému inovatívnych metód práce s textom. Spoločne sme na predmetnú tému diskutovali, zdieľali OPS a tvorili inovatívne didaktické materiály. Na záver stretnutia sme tvorili pedagogické odporúčanie.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rozvoj čitateľskej gramotnosti, inovatívne metódy, práca s textom, tvorba didaktických materiálov.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medzigeneračná výmena.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čitateľská gramotnosť, kľúčové kompetencie 4.0, inovatívne metódy práce s textom.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literatúry, skupinový opisný výskum, zdieľanie výsledkov.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Medzigeneračná výmena a hodnotenie výskumu – metóda lodnej porady, zdieľanie OPS.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materiálov.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03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Diskutovali  sme  k téme rozvoja čitateľskej gramotnosti pomocou inovatívnych metód práce s textom a v nasledujúcom odseku vyberáme návrhy a príspevky z diskusie. Zameriavali sme sa na štúdium textov v elektronickej podobe, vzhľadom na narastajúci trend čítania na internete.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základe rôznych zdrojov informácii si vytvárame názory na udalosti a ľudí okolo nás. Kto chce, aby jeho poznatky a vyjadrenia boli čo najpresnejšie, vychádza z tých zdrojov informácii, ktoré považuje za najspoľahlivejšie. Zistiť spoľahlivosť zdroja informácii je často ťažká práca, hlavne vtedy, keď nie je možné tvrdenie overiť z nejakého iného zdroja. Ku kvalitnej práci patrí aj kvalitný zdroj informácii. Pomôcka, ktorú sme si prezentovali v rámci stretnutia, učí žiaka chápať skutočnosti v súvislostiach. Postupným využívaním tabuľky získava žiak nový pohľad na dôveryhodnosť uverejnenej informácie. Obsah tabuľky je možné modifikovať podľa druhu média, z ktorého čerpáme informácie.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57785</wp:posOffset>
                  </wp:positionV>
                  <wp:extent cx="4417695" cy="4299585"/>
                  <wp:effectExtent l="0" t="0" r="0" b="0"/>
                  <wp:wrapTight wrapText="bothSides">
                    <wp:wrapPolygon edited="0">
                      <wp:start x="-3" y="0"/>
                      <wp:lineTo x="-3" y="21563"/>
                      <wp:lineTo x="21543" y="21563"/>
                      <wp:lineTo x="21543" y="0"/>
                      <wp:lineTo x="-3" y="0"/>
                    </wp:wrapPolygon>
                  </wp:wrapTight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95" cy="429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Teoretické poznámky k tabuľke: Prvou a zásadnou otázkou je, či poznáme autora daného dokumentu alebo je dokument anonymným dielom. Anonymné dokumenty, súbory a stránky sú menej rešpektované.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Aktivita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Tvorba  vlastného obrazu  o prijímaní  rozhodnutia o budúcej profesii využitím  literárnych diel.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Podrobná práca s textom, analýza kľúčových otázok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Postup: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použijeme metódu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prevrátenej výučby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Učiteľ zadá žiakom úlohu vyhľadať literárne diela, v ktorých sa opisuje snaha aspoň jednej z literárnych postáv stať sa remeselníkom alebo je  v diele podaný opis,  ako remeslo pomohlo v živote jednej z postáv, prípadne sa v danom literárnom žánri  rozoberá spôsob rozhodovania mladých ľudí, čo ďalej, akým  profesijným smerom sa budú uberať.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Reflexia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Čo sa žiak naučil, aké vedomosti, kompetencie a zručnosti získal vypracovaním tohto prehľadu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Vytvoril vlastný pohľad na literárne diela;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 tým súvisi: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Rozvoj tvorivosti;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Zmysel pre inovácie;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Zodpovednosť, ktorá sa prejavila v práci s detailom;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Schopnosť  hľadať  súvislosti;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Schopnosť objavovaťa  orientovať sa v informáciách;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Zbehlosť v anglickom jazyku;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Aktívny prístup;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Rozvoj zdravého sebavedomia;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Metóda prevrátenej výučby  simuluje reálnu pracovnú situáciu. Žiak dostane zadanie úlohy a možnosť použiť rôzne zdroje informácií, ktoré považuje za dôveryhodné k vypracovaniu úlohy.  Hotový materiál predkladá k posúdeniu širokej verejnosti (triedy)  a nasleduje diskusia o jeho pohľade na danú  problematiku.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Metóda tzv. prevrátenej výučby (triedy) je charakterizovaná  štyrmi princípmi: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flexibilné prostredie: učiteľ  podľa potreby kombinuje rôzne spôsoby výučby.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zmena princípu: výučba je výlučne orientovaná na žiaka. Digitálne technológie umožňujú jednoduchým spôsobom  individualizovať výučbu.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obsahový štandard: učiteľ priebežne hodnotí efektívnosť výučby a zadáva výučbové materiály na samostatné štúdium.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učiteľ: poskytuje spätnú väzbu žiakom. Venuje sa im  individuálne a všíma si, aký  pokrok nastal u každého žiaka. Úloha učiteľa v prevrátenej triede je náročnejšia ako výučba tradičnou formou.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uvedených aktivitách a výsledky si vzájomne zdieľať.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26"/>
        <w:gridCol w:w="5035"/>
      </w:tblGrid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apríl   2021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apríl  2021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3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27. apríl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6</Pages>
  <Words>1191</Words>
  <Characters>7206</Characters>
  <CharactersWithSpaces>8379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2021-05-25T09:03:00Z</dcterms:created>
  <dc:creator>Feková Eva</dc:creator>
  <dc:description/>
  <dc:language>en-US</dc:language>
  <cp:lastModifiedBy/>
  <cp:lastPrinted>2020-05-28T09:14:00Z</cp:lastPrinted>
  <dcterms:modified xsi:type="dcterms:W3CDTF">2021-07-12T09:43:33Z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