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3D2B9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3D2B94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2505A3B6" w:rsidR="00F305BB" w:rsidRPr="003D2B94" w:rsidRDefault="003D2B9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3DFE8E89" w:rsidR="00F305BB" w:rsidRPr="003D2B94" w:rsidRDefault="003D2B9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259BD84E" w:rsidR="00F305BB" w:rsidRPr="003D2B94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31201</w:t>
            </w:r>
            <w:r w:rsidR="006D3C69">
              <w:rPr>
                <w:rFonts w:ascii="Times New Roman" w:hAnsi="Times New Roman"/>
              </w:rPr>
              <w:t>1</w:t>
            </w:r>
            <w:r w:rsidR="003D2B94" w:rsidRPr="003D2B94">
              <w:rPr>
                <w:rFonts w:ascii="Times New Roman" w:hAnsi="Times New Roman"/>
              </w:rPr>
              <w:t>ADL9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1DB99134" w:rsidR="00F305BB" w:rsidRPr="003D2B94" w:rsidRDefault="003D2B9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2B94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099EA08B" w:rsidR="00F305BB" w:rsidRPr="007B6C7D" w:rsidRDefault="00430E77" w:rsidP="007B6C7D">
            <w:pPr>
              <w:tabs>
                <w:tab w:val="left" w:pos="4007"/>
              </w:tabs>
              <w:spacing w:after="0" w:line="240" w:lineRule="auto"/>
            </w:pPr>
            <w:r>
              <w:t>03.06.2021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7AD94455" w:rsidR="00F305BB" w:rsidRPr="007B6C7D" w:rsidRDefault="00430E77" w:rsidP="007B6C7D">
            <w:pPr>
              <w:tabs>
                <w:tab w:val="left" w:pos="4007"/>
              </w:tabs>
              <w:spacing w:after="0" w:line="240" w:lineRule="auto"/>
            </w:pPr>
            <w:r w:rsidRPr="003D2B9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5B705953" w:rsidR="00F305BB" w:rsidRPr="007B6C7D" w:rsidRDefault="00430E77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A03D59" w14:textId="77777777" w:rsidR="00430E77" w:rsidRDefault="00430E77" w:rsidP="00430E7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265E458B" w14:textId="77777777" w:rsidR="00430E77" w:rsidRDefault="00430E77" w:rsidP="00430E77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640D1737" w:rsidR="00EE1416" w:rsidRDefault="003D2B94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pedagogického klubu bola diskusia a analýza kognitívnych metód, vhodných na rozvoj finančnej gramotnosti a</w:t>
            </w:r>
            <w:r w:rsidR="002C432C">
              <w:rPr>
                <w:rFonts w:ascii="Times New Roman" w:hAnsi="Times New Roman"/>
              </w:rPr>
              <w:t xml:space="preserve"> finančnej</w:t>
            </w:r>
            <w:r>
              <w:rPr>
                <w:rFonts w:ascii="Times New Roman" w:hAnsi="Times New Roman"/>
              </w:rPr>
              <w:t> matematiky. Diskutovali sme o možnostiach aplikácie predmetných metód pri rozvoji finančnej matematiky a stretnutie sme ukončili tvorbou zhrnutia.</w:t>
            </w:r>
          </w:p>
          <w:p w14:paraId="03A433F1" w14:textId="77777777" w:rsidR="003D2B94" w:rsidRDefault="003D2B94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521B9337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3D2B94">
              <w:rPr>
                <w:rFonts w:ascii="Times New Roman" w:hAnsi="Times New Roman"/>
              </w:rPr>
              <w:t>kognitívne metódy, rozvoj finančnej gramotnosti, finančná matematika.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528DEA92" w:rsidR="00405AE8" w:rsidRDefault="006D3C69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</w:t>
            </w:r>
            <w:r w:rsidR="003D2B94">
              <w:rPr>
                <w:rFonts w:ascii="Times New Roman" w:hAnsi="Times New Roman"/>
              </w:rPr>
              <w:t xml:space="preserve"> odbornej literatúry.</w:t>
            </w:r>
          </w:p>
          <w:p w14:paraId="1A08CCEF" w14:textId="333ADE8F" w:rsidR="003D2B94" w:rsidRDefault="003D2B9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7478E625" w14:textId="676222DE" w:rsidR="003D2B94" w:rsidRDefault="003D2B9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OPS.</w:t>
            </w:r>
          </w:p>
          <w:p w14:paraId="3F9739F8" w14:textId="6E359DBC" w:rsidR="003D2B94" w:rsidRDefault="003D2B9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16BD6A6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3D2B94">
              <w:rPr>
                <w:rFonts w:ascii="Times New Roman" w:hAnsi="Times New Roman"/>
              </w:rPr>
              <w:t>rozvoj finančnej a matematickej gramotnosti. kognitívne metódy vo vzdelávaní, vzdelávanie 4.0.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FF6AB98" w14:textId="296CC9B1" w:rsidR="00F305BB" w:rsidRDefault="0022685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analýza odbornej literatúry.</w:t>
            </w:r>
          </w:p>
          <w:p w14:paraId="6216C4ED" w14:textId="43FD92D4" w:rsidR="00226852" w:rsidRDefault="0022685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 metódou </w:t>
            </w:r>
            <w:r w:rsidR="002C432C">
              <w:rPr>
                <w:rFonts w:ascii="Times New Roman" w:hAnsi="Times New Roman"/>
              </w:rPr>
              <w:t>Akvárium</w:t>
            </w:r>
            <w:r>
              <w:rPr>
                <w:rFonts w:ascii="Times New Roman" w:hAnsi="Times New Roman"/>
              </w:rPr>
              <w:t xml:space="preserve">, návrhy na aplikáciu </w:t>
            </w:r>
            <w:r w:rsidR="002C432C">
              <w:rPr>
                <w:rFonts w:ascii="Times New Roman" w:hAnsi="Times New Roman"/>
              </w:rPr>
              <w:t>kognitívnych</w:t>
            </w:r>
            <w:r>
              <w:rPr>
                <w:rFonts w:ascii="Times New Roman" w:hAnsi="Times New Roman"/>
              </w:rPr>
              <w:t xml:space="preserve"> metód.</w:t>
            </w:r>
          </w:p>
          <w:p w14:paraId="1FD4E5EC" w14:textId="4BE1D23F" w:rsidR="00226852" w:rsidRDefault="0022685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pedagogických skúseností na predmetnú tému.</w:t>
            </w:r>
          </w:p>
          <w:p w14:paraId="16A049AE" w14:textId="71AAD637" w:rsidR="00226852" w:rsidRDefault="00226852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14:paraId="46ED2987" w14:textId="7BA7D080" w:rsidR="003D2B94" w:rsidRPr="00405AE8" w:rsidRDefault="003D2B94" w:rsidP="003D2B94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14:paraId="74E28129" w14:textId="77777777" w:rsidTr="00506031">
        <w:trPr>
          <w:trHeight w:val="154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3CD6FD58" w:rsidR="009A055C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 základe aktivít v rámci </w:t>
            </w:r>
            <w:r w:rsidR="006D3C69">
              <w:rPr>
                <w:rFonts w:ascii="Times New Roman" w:hAnsi="Times New Roman"/>
                <w:bCs/>
              </w:rPr>
              <w:t xml:space="preserve"> zasadnutia </w:t>
            </w:r>
            <w:r>
              <w:rPr>
                <w:rFonts w:ascii="Times New Roman" w:hAnsi="Times New Roman"/>
                <w:bCs/>
              </w:rPr>
              <w:t>klubu sme vytvorili nasledovné zhrnutie kognitívnych metód použiteľných pri rozvoji finančnej matematiky:</w:t>
            </w:r>
          </w:p>
          <w:p w14:paraId="5A21DF4F" w14:textId="6080CD29" w:rsidR="00226852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84B9A93" w14:textId="78D2D0F8" w:rsidR="00226852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Alfa box</w:t>
            </w:r>
          </w:p>
          <w:p w14:paraId="4AA7B50D" w14:textId="0BE26AA4" w:rsidR="00226852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Alfa box je metóda, ktorú môže učite</w:t>
            </w:r>
            <w:r w:rsidR="004A2CA0">
              <w:rPr>
                <w:rFonts w:ascii="Times New Roman" w:hAnsi="Times New Roman"/>
                <w:bCs/>
              </w:rPr>
              <w:t xml:space="preserve">ľ použiť ako evokačnú, ale aj ako opakovaciu techniku. Učiteľ si dopredu na tabuľu pripraví tabuľku. Žiaci sú učiteľom rozdelení do niekoľko menších skupín. Učiteľ predstaví a napíše na tabuľu otázku/tému/pojem, ktorý bude nosný pre nasledujúcu prácu. Následne predstaví aj tabuľku a samotnú metódu. Úlohou žiakov je potom zapisovať k jednotlivým písmenom abecedy pojmy, komentáre, tvrdenia, pochybnosti, otázky, ktoré sa im vybavujú nad zadanou témou a začínajú príslušným písmenom abecedy. Túto činnosť robia v skupinách na vlastnej tabuľke. Všetky políčka pritom nemusia byť zaplnené. Po ukončení časového limitu (cca 30 minút s ohľadom na tému) môže trieda vybrať jednotlivé skupiny alebo individuálne jednotlivé pojmy a zapísať ich na centrálny alfa box na tabuľu. Ten potom učiteľ prejde, prečíta, kladie k nemu </w:t>
            </w:r>
            <w:r w:rsidR="002C432C">
              <w:rPr>
                <w:rFonts w:ascii="Times New Roman" w:hAnsi="Times New Roman"/>
                <w:bCs/>
              </w:rPr>
              <w:t>otázky</w:t>
            </w:r>
            <w:r w:rsidR="004A2CA0">
              <w:rPr>
                <w:rFonts w:ascii="Times New Roman" w:hAnsi="Times New Roman"/>
                <w:bCs/>
              </w:rPr>
              <w:t>, pýta sa na vysvetlenie, pridáva postrehy.</w:t>
            </w:r>
          </w:p>
          <w:p w14:paraId="153E5094" w14:textId="12A60972" w:rsidR="004A2CA0" w:rsidRDefault="004A2C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6C51F6D" w14:textId="3FF4C4CA" w:rsidR="004A2CA0" w:rsidRDefault="004A2C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Fish pool</w:t>
            </w:r>
          </w:p>
          <w:p w14:paraId="2C2E558C" w14:textId="5A4EA7FF" w:rsidR="004A2CA0" w:rsidRDefault="004A2C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 tejto aktivite, pracujeme v postupných fázach. 1. fáza: myšlienky na danú tému napíšeme na kartičky (jeden nápad na jeden lístok); 2. fáza: lístky sa položia na stôl a zamiešajú; 3. fáza: žiak si vyloví dve kartičky a poznamená si, čo ho prvé napadne ako spojenie vybraných pojmov; 4. fáza: tieto asociácie sú prečítané a slúžia ako základ pre ďalšiu práci.</w:t>
            </w:r>
          </w:p>
          <w:p w14:paraId="1916CFAE" w14:textId="1B2A151D" w:rsidR="004A2CA0" w:rsidRDefault="004A2C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878B747" w14:textId="2FB7F75C" w:rsidR="004A2CA0" w:rsidRDefault="004A2CA0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Metódy využí</w:t>
            </w:r>
            <w:r w:rsidR="002C432C">
              <w:rPr>
                <w:rFonts w:ascii="Times New Roman" w:hAnsi="Times New Roman"/>
                <w:bCs/>
              </w:rPr>
              <w:t>vajúce zo</w:t>
            </w:r>
            <w:r w:rsidR="006D3C69">
              <w:rPr>
                <w:rFonts w:ascii="Times New Roman" w:hAnsi="Times New Roman"/>
                <w:bCs/>
              </w:rPr>
              <w:t>všeo</w:t>
            </w:r>
            <w:r w:rsidR="002C432C">
              <w:rPr>
                <w:rFonts w:ascii="Times New Roman" w:hAnsi="Times New Roman"/>
                <w:bCs/>
              </w:rPr>
              <w:t>becňovanie</w:t>
            </w:r>
          </w:p>
          <w:p w14:paraId="2FDF5E37" w14:textId="2E6FC4C1" w:rsidR="002C432C" w:rsidRDefault="002C432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Zo</w:t>
            </w:r>
            <w:r w:rsidR="006D3C69">
              <w:rPr>
                <w:rFonts w:ascii="Times New Roman" w:hAnsi="Times New Roman"/>
                <w:bCs/>
              </w:rPr>
              <w:t>všeo</w:t>
            </w:r>
            <w:r>
              <w:rPr>
                <w:rFonts w:ascii="Times New Roman" w:hAnsi="Times New Roman"/>
                <w:bCs/>
              </w:rPr>
              <w:t>becňovanie je myšlienkové vystihnutie toho, čo je predmetom a javom spoločné, a na tomto základe vyjadrenie ich myšlienkového spojenia. Porovnávaním môžeme zistiť, čo je obecne zhodné, a následne dané veci môžeme myšlienkovo zaradiť do rovnakej skupiny – zovš</w:t>
            </w:r>
            <w:r w:rsidR="006D3C69">
              <w:rPr>
                <w:rFonts w:ascii="Times New Roman" w:hAnsi="Times New Roman"/>
                <w:bCs/>
              </w:rPr>
              <w:t>eo</w:t>
            </w:r>
            <w:r>
              <w:rPr>
                <w:rFonts w:ascii="Times New Roman" w:hAnsi="Times New Roman"/>
                <w:bCs/>
              </w:rPr>
              <w:t xml:space="preserve">becniť ich. Počas tohoto procesu sa vyčleňujú znaky nie len spoločné, ale predovšetkým podstatné. </w:t>
            </w:r>
          </w:p>
          <w:p w14:paraId="6CF07C4E" w14:textId="738BEA7B" w:rsidR="002C432C" w:rsidRDefault="002C432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Syntetické metódy</w:t>
            </w:r>
          </w:p>
          <w:p w14:paraId="59AF5B75" w14:textId="7608D562" w:rsidR="002C432C" w:rsidRDefault="002C432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Syntéza je myšlienkové spojenie pojmov a výrokov získaných a overených analýzou do celku, ktorý tvorí obraz reálnej skutočnosti alebo predstavujúci konkrétny návrh. Syntézu môžeme rozdeliť na dva druhy – myšlienkové zjednotenie častí celku a myšlienkové spojenie rôznych znakov ,vlastností alebo stránok predmetov a javov.</w:t>
            </w:r>
          </w:p>
          <w:p w14:paraId="1FBE043E" w14:textId="6FB3BF86" w:rsidR="00226852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DC778A1" w14:textId="13768772" w:rsidR="00506031" w:rsidRDefault="0050603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Ukážky zo zdieľania OPS:</w:t>
            </w:r>
          </w:p>
          <w:p w14:paraId="4536EDE4" w14:textId="77777777" w:rsidR="00506031" w:rsidRDefault="0050603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0BFDC7A" w14:textId="65E27C9A" w:rsidR="00506031" w:rsidRDefault="0050603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drawing>
                <wp:inline distT="0" distB="0" distL="0" distR="0" wp14:anchorId="3CD31A61" wp14:editId="1D104011">
                  <wp:extent cx="5316220" cy="2910205"/>
                  <wp:effectExtent l="0" t="0" r="508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/>
                        </pic:nvPicPr>
                        <pic:blipFill rotWithShape="1">
                          <a:blip r:embed="rId8"/>
                          <a:srcRect l="7716"/>
                          <a:stretch/>
                        </pic:blipFill>
                        <pic:spPr bwMode="auto">
                          <a:xfrm>
                            <a:off x="0" y="0"/>
                            <a:ext cx="5316220" cy="2910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8FDF6C" w14:textId="387B100C" w:rsidR="00226852" w:rsidRDefault="00226852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4235FB8" w14:textId="2CDDC6F3" w:rsidR="00226852" w:rsidRDefault="00506031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  <w:lang w:eastAsia="sk-SK"/>
              </w:rPr>
              <w:lastRenderedPageBreak/>
              <w:drawing>
                <wp:inline distT="0" distB="0" distL="0" distR="0" wp14:anchorId="5326356A" wp14:editId="4F864FAE">
                  <wp:extent cx="3096000" cy="4093874"/>
                  <wp:effectExtent l="0" t="0" r="3175" b="0"/>
                  <wp:docPr id="4" name="Obrázok 4" descr="Obrázok, na ktorom je text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ok 4" descr="Obrázok, na ktorom je text&#10;&#10;Automaticky generovaný popi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000" cy="409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15764" w14:textId="77777777" w:rsidR="00EE1416" w:rsidRDefault="00EE1416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FDC9CE8" w14:textId="77777777" w:rsidR="002C432C" w:rsidRDefault="002C432C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A3BF37C" w14:textId="77777777" w:rsidR="002C432C" w:rsidRDefault="002C432C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A242317" w14:textId="77777777" w:rsidR="002C432C" w:rsidRDefault="002C432C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6FB076" w14:textId="4B71B72D" w:rsidR="002C432C" w:rsidRDefault="00506031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pokračovať v aktivitách PK a zdieľať OPS.</w:t>
            </w:r>
          </w:p>
          <w:p w14:paraId="22F6E601" w14:textId="10DBF90E" w:rsidR="002C432C" w:rsidRPr="00C776AE" w:rsidRDefault="002C432C" w:rsidP="002C432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7E82FEFD" w:rsidR="00F305BB" w:rsidRPr="007B6C7D" w:rsidRDefault="00430E77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27D2F71" w:rsidR="00F305BB" w:rsidRPr="007B6C7D" w:rsidRDefault="00430E77" w:rsidP="007B6C7D">
            <w:pPr>
              <w:tabs>
                <w:tab w:val="left" w:pos="1114"/>
              </w:tabs>
              <w:spacing w:after="0" w:line="240" w:lineRule="auto"/>
            </w:pPr>
            <w:r>
              <w:t>3.6.2021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1791BB86" w:rsidR="00F305BB" w:rsidRPr="007B6C7D" w:rsidRDefault="00430E77" w:rsidP="007B6C7D">
            <w:pPr>
              <w:tabs>
                <w:tab w:val="left" w:pos="1114"/>
              </w:tabs>
              <w:spacing w:after="0" w:line="240" w:lineRule="auto"/>
            </w:pPr>
            <w:r>
              <w:t>Mgr.Romana Birošová,MBA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4CD3C35F" w:rsidR="00F305BB" w:rsidRPr="007B6C7D" w:rsidRDefault="00430E77" w:rsidP="007B6C7D">
            <w:pPr>
              <w:tabs>
                <w:tab w:val="left" w:pos="1114"/>
              </w:tabs>
              <w:spacing w:after="0" w:line="240" w:lineRule="auto"/>
            </w:pPr>
            <w:r>
              <w:t>3.6.2021</w:t>
            </w:r>
            <w:bookmarkStart w:id="0" w:name="_GoBack"/>
            <w:bookmarkEnd w:id="0"/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lastRenderedPageBreak/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30E77" w:rsidRPr="007B6C7D" w14:paraId="6C91E6F6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CA8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5E86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430E77" w:rsidRPr="001620FF" w14:paraId="6575CEA8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29F" w14:textId="77777777" w:rsidR="00430E77" w:rsidRPr="001620FF" w:rsidRDefault="00430E77" w:rsidP="008E7BC3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CEC" w14:textId="77777777" w:rsidR="00430E77" w:rsidRPr="001620FF" w:rsidRDefault="00430E77" w:rsidP="008E7BC3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430E77" w:rsidRPr="007B6C7D" w14:paraId="34623DFF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5DC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929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430E77" w:rsidRPr="007B6C7D" w14:paraId="41DD9A86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C1B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1B0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Vzdelávanie 4.0 – prepojenie teórie s praxou</w:t>
            </w:r>
          </w:p>
        </w:tc>
      </w:tr>
      <w:tr w:rsidR="00430E77" w:rsidRPr="007B6C7D" w14:paraId="7C394FB2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B7F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8A8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312010ADL9</w:t>
            </w:r>
          </w:p>
        </w:tc>
      </w:tr>
      <w:tr w:rsidR="00430E77" w:rsidRPr="007B6C7D" w14:paraId="71626608" w14:textId="77777777" w:rsidTr="00430E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87C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A99" w14:textId="77777777" w:rsidR="00430E77" w:rsidRPr="00503A50" w:rsidRDefault="00430E77" w:rsidP="008E7BC3">
            <w:pPr>
              <w:rPr>
                <w:spacing w:val="20"/>
                <w:sz w:val="20"/>
                <w:szCs w:val="20"/>
              </w:rPr>
            </w:pPr>
            <w:r w:rsidRPr="00A473CE">
              <w:rPr>
                <w:spacing w:val="20"/>
                <w:sz w:val="20"/>
                <w:szCs w:val="20"/>
              </w:rPr>
              <w:t>Pedagogický klub č. 3</w:t>
            </w:r>
            <w:r w:rsidRPr="00503A50">
              <w:rPr>
                <w:spacing w:val="20"/>
                <w:sz w:val="20"/>
                <w:szCs w:val="20"/>
              </w:rPr>
              <w:t xml:space="preserve">  </w:t>
            </w:r>
          </w:p>
          <w:p w14:paraId="1BBB0959" w14:textId="77777777" w:rsidR="00430E77" w:rsidRPr="007B6C7D" w:rsidRDefault="00430E77" w:rsidP="008E7BC3">
            <w:pPr>
              <w:rPr>
                <w:spacing w:val="20"/>
                <w:sz w:val="20"/>
                <w:szCs w:val="20"/>
              </w:rPr>
            </w:pPr>
            <w:r w:rsidRPr="00503A50">
              <w:rPr>
                <w:spacing w:val="20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0EF4B4DE" w:rsidR="00F305BB" w:rsidRDefault="00F305BB" w:rsidP="00D0796E">
      <w:r>
        <w:t>Miesto konania stretnutia:</w:t>
      </w:r>
      <w:r w:rsidR="006746AD">
        <w:t xml:space="preserve"> </w:t>
      </w:r>
      <w:r w:rsidR="00430E77">
        <w:t>SSOŠ Elba, Smetanova 2, Prešov</w:t>
      </w:r>
    </w:p>
    <w:p w14:paraId="375C2BC7" w14:textId="5CCB6F28" w:rsidR="00957662" w:rsidRDefault="00F305BB" w:rsidP="00D0796E">
      <w:r>
        <w:t>Dátum konania stretnutia:</w:t>
      </w:r>
      <w:r w:rsidR="00A64FD7">
        <w:t xml:space="preserve"> </w:t>
      </w:r>
      <w:r w:rsidR="00430E77">
        <w:t>3.6.2021</w:t>
      </w:r>
    </w:p>
    <w:p w14:paraId="66084B0E" w14:textId="56CF247B" w:rsidR="00F305BB" w:rsidRDefault="00F305BB" w:rsidP="00D0796E">
      <w:r>
        <w:t>Trvanie stretnutia: od</w:t>
      </w:r>
      <w:r w:rsidR="00430E77">
        <w:t>14.45</w:t>
      </w:r>
      <w:r>
        <w:t>.hod</w:t>
      </w:r>
      <w:r>
        <w:tab/>
        <w:t>do</w:t>
      </w:r>
      <w:r w:rsidR="00430E77">
        <w:t>17.45</w:t>
      </w:r>
      <w:r>
        <w:t>hod</w:t>
      </w:r>
      <w:r>
        <w:tab/>
      </w:r>
    </w:p>
    <w:p w14:paraId="67344927" w14:textId="77777777" w:rsidR="00F305BB" w:rsidRDefault="00F305BB" w:rsidP="00D0796E"/>
    <w:p w14:paraId="03BB3735" w14:textId="77777777" w:rsidR="00430E77" w:rsidRDefault="00430E77" w:rsidP="00430E77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430E77" w:rsidRPr="007B6C7D" w14:paraId="49D8A9D6" w14:textId="77777777" w:rsidTr="008E7BC3">
        <w:trPr>
          <w:trHeight w:val="337"/>
        </w:trPr>
        <w:tc>
          <w:tcPr>
            <w:tcW w:w="544" w:type="dxa"/>
          </w:tcPr>
          <w:p w14:paraId="40419850" w14:textId="77777777" w:rsidR="00430E77" w:rsidRPr="007B6C7D" w:rsidRDefault="00430E77" w:rsidP="008E7BC3">
            <w:r w:rsidRPr="007B6C7D">
              <w:t>č.</w:t>
            </w:r>
          </w:p>
        </w:tc>
        <w:tc>
          <w:tcPr>
            <w:tcW w:w="3935" w:type="dxa"/>
          </w:tcPr>
          <w:p w14:paraId="2F7D0769" w14:textId="77777777" w:rsidR="00430E77" w:rsidRPr="007B6C7D" w:rsidRDefault="00430E77" w:rsidP="008E7BC3">
            <w:r w:rsidRPr="007B6C7D">
              <w:t>Meno a priezvisko</w:t>
            </w:r>
          </w:p>
        </w:tc>
        <w:tc>
          <w:tcPr>
            <w:tcW w:w="2427" w:type="dxa"/>
          </w:tcPr>
          <w:p w14:paraId="6A921285" w14:textId="77777777" w:rsidR="00430E77" w:rsidRPr="007B6C7D" w:rsidRDefault="00430E77" w:rsidP="008E7BC3">
            <w:r w:rsidRPr="007B6C7D">
              <w:t>Podpis</w:t>
            </w:r>
          </w:p>
        </w:tc>
        <w:tc>
          <w:tcPr>
            <w:tcW w:w="2306" w:type="dxa"/>
          </w:tcPr>
          <w:p w14:paraId="00DD6E2F" w14:textId="77777777" w:rsidR="00430E77" w:rsidRPr="007B6C7D" w:rsidRDefault="00430E77" w:rsidP="008E7BC3">
            <w:r>
              <w:t>Inštitúcia</w:t>
            </w:r>
          </w:p>
        </w:tc>
      </w:tr>
      <w:tr w:rsidR="00430E77" w:rsidRPr="007B6C7D" w14:paraId="6BE536F1" w14:textId="77777777" w:rsidTr="008E7BC3">
        <w:trPr>
          <w:trHeight w:val="337"/>
        </w:trPr>
        <w:tc>
          <w:tcPr>
            <w:tcW w:w="544" w:type="dxa"/>
          </w:tcPr>
          <w:p w14:paraId="17F84964" w14:textId="77777777" w:rsidR="00430E77" w:rsidRPr="007B6C7D" w:rsidRDefault="00430E77" w:rsidP="008E7BC3">
            <w:r>
              <w:t>1.</w:t>
            </w:r>
          </w:p>
        </w:tc>
        <w:tc>
          <w:tcPr>
            <w:tcW w:w="3935" w:type="dxa"/>
          </w:tcPr>
          <w:p w14:paraId="2B244DAF" w14:textId="77777777" w:rsidR="00430E77" w:rsidRPr="007B6C7D" w:rsidRDefault="00430E77" w:rsidP="008E7BC3">
            <w:r>
              <w:t>Ing.Branislav Blicha</w:t>
            </w:r>
          </w:p>
        </w:tc>
        <w:tc>
          <w:tcPr>
            <w:tcW w:w="2427" w:type="dxa"/>
          </w:tcPr>
          <w:p w14:paraId="2AC4E993" w14:textId="77777777" w:rsidR="00430E77" w:rsidRPr="007B6C7D" w:rsidRDefault="00430E77" w:rsidP="008E7BC3"/>
        </w:tc>
        <w:tc>
          <w:tcPr>
            <w:tcW w:w="2306" w:type="dxa"/>
          </w:tcPr>
          <w:p w14:paraId="5F416C51" w14:textId="77777777" w:rsidR="00430E77" w:rsidRPr="007B6C7D" w:rsidRDefault="00430E77" w:rsidP="008E7BC3">
            <w:r>
              <w:t xml:space="preserve">SSOŠ ELBA </w:t>
            </w:r>
          </w:p>
        </w:tc>
      </w:tr>
      <w:tr w:rsidR="00430E77" w:rsidRPr="007B6C7D" w14:paraId="05C7DECF" w14:textId="77777777" w:rsidTr="008E7BC3">
        <w:trPr>
          <w:trHeight w:val="337"/>
        </w:trPr>
        <w:tc>
          <w:tcPr>
            <w:tcW w:w="544" w:type="dxa"/>
          </w:tcPr>
          <w:p w14:paraId="53799B62" w14:textId="77777777" w:rsidR="00430E77" w:rsidRPr="007B6C7D" w:rsidRDefault="00430E77" w:rsidP="008E7BC3">
            <w:r>
              <w:t>2.</w:t>
            </w:r>
          </w:p>
        </w:tc>
        <w:tc>
          <w:tcPr>
            <w:tcW w:w="3935" w:type="dxa"/>
          </w:tcPr>
          <w:p w14:paraId="7B4AE4BA" w14:textId="77777777" w:rsidR="00430E77" w:rsidRPr="005B59BE" w:rsidRDefault="00430E77" w:rsidP="008E7BC3">
            <w:pPr>
              <w:rPr>
                <w:rFonts w:asciiTheme="minorHAnsi" w:hAnsiTheme="minorHAnsi"/>
              </w:rPr>
            </w:pPr>
            <w:r w:rsidRPr="005B59BE">
              <w:rPr>
                <w:rFonts w:asciiTheme="minorHAnsi" w:hAnsiTheme="minorHAnsi" w:cs="Segoe UI"/>
                <w:color w:val="323130"/>
                <w:shd w:val="clear" w:color="auto" w:fill="FFFFFF"/>
              </w:rPr>
              <w:t xml:space="preserve">Ing. Marcela Hadviždžáková </w:t>
            </w:r>
          </w:p>
        </w:tc>
        <w:tc>
          <w:tcPr>
            <w:tcW w:w="2427" w:type="dxa"/>
          </w:tcPr>
          <w:p w14:paraId="0335A384" w14:textId="77777777" w:rsidR="00430E77" w:rsidRPr="007B6C7D" w:rsidRDefault="00430E77" w:rsidP="008E7BC3"/>
        </w:tc>
        <w:tc>
          <w:tcPr>
            <w:tcW w:w="2306" w:type="dxa"/>
          </w:tcPr>
          <w:p w14:paraId="3BCEC0D1" w14:textId="77777777" w:rsidR="00430E77" w:rsidRPr="007B6C7D" w:rsidRDefault="00430E77" w:rsidP="008E7BC3">
            <w:r>
              <w:t>SSOŠ ELBA</w:t>
            </w:r>
          </w:p>
        </w:tc>
      </w:tr>
      <w:tr w:rsidR="00430E77" w:rsidRPr="007B6C7D" w14:paraId="119438EE" w14:textId="77777777" w:rsidTr="008E7BC3">
        <w:trPr>
          <w:trHeight w:val="337"/>
        </w:trPr>
        <w:tc>
          <w:tcPr>
            <w:tcW w:w="544" w:type="dxa"/>
          </w:tcPr>
          <w:p w14:paraId="5FBB5D40" w14:textId="77777777" w:rsidR="00430E77" w:rsidRPr="007B6C7D" w:rsidRDefault="00430E77" w:rsidP="008E7BC3">
            <w:r>
              <w:t>3.</w:t>
            </w:r>
          </w:p>
        </w:tc>
        <w:tc>
          <w:tcPr>
            <w:tcW w:w="3935" w:type="dxa"/>
          </w:tcPr>
          <w:p w14:paraId="31F546FA" w14:textId="77777777" w:rsidR="00430E77" w:rsidRPr="007B6C7D" w:rsidRDefault="00430E77" w:rsidP="008E7BC3">
            <w:r>
              <w:t xml:space="preserve">Mgr, Viera </w:t>
            </w:r>
            <w:r w:rsidRPr="00E34982">
              <w:t>Voľanská Huntejová</w:t>
            </w:r>
            <w:r>
              <w:t xml:space="preserve"> </w:t>
            </w:r>
          </w:p>
        </w:tc>
        <w:tc>
          <w:tcPr>
            <w:tcW w:w="2427" w:type="dxa"/>
          </w:tcPr>
          <w:p w14:paraId="29B0BFC9" w14:textId="77777777" w:rsidR="00430E77" w:rsidRPr="007B6C7D" w:rsidRDefault="00430E77" w:rsidP="008E7BC3"/>
        </w:tc>
        <w:tc>
          <w:tcPr>
            <w:tcW w:w="2306" w:type="dxa"/>
          </w:tcPr>
          <w:p w14:paraId="7CBA4920" w14:textId="77777777" w:rsidR="00430E77" w:rsidRPr="007B6C7D" w:rsidRDefault="00430E77" w:rsidP="008E7BC3">
            <w:r>
              <w:t>SSOŠ ELBA</w:t>
            </w:r>
          </w:p>
        </w:tc>
      </w:tr>
      <w:tr w:rsidR="00430E77" w:rsidRPr="007B6C7D" w14:paraId="783DEE0B" w14:textId="77777777" w:rsidTr="008E7BC3">
        <w:trPr>
          <w:trHeight w:val="337"/>
        </w:trPr>
        <w:tc>
          <w:tcPr>
            <w:tcW w:w="544" w:type="dxa"/>
          </w:tcPr>
          <w:p w14:paraId="7E58AFF0" w14:textId="77777777" w:rsidR="00430E77" w:rsidRPr="007B6C7D" w:rsidRDefault="00430E77" w:rsidP="008E7BC3">
            <w:r>
              <w:t>4.</w:t>
            </w:r>
          </w:p>
        </w:tc>
        <w:tc>
          <w:tcPr>
            <w:tcW w:w="3935" w:type="dxa"/>
          </w:tcPr>
          <w:p w14:paraId="2B629435" w14:textId="77777777" w:rsidR="00430E77" w:rsidRPr="007B6C7D" w:rsidRDefault="00430E77" w:rsidP="008E7BC3">
            <w:r>
              <w:t>Mgr.Karina Kováčová</w:t>
            </w:r>
          </w:p>
        </w:tc>
        <w:tc>
          <w:tcPr>
            <w:tcW w:w="2427" w:type="dxa"/>
          </w:tcPr>
          <w:p w14:paraId="7FDC7F34" w14:textId="77777777" w:rsidR="00430E77" w:rsidRPr="007B6C7D" w:rsidRDefault="00430E77" w:rsidP="008E7BC3"/>
        </w:tc>
        <w:tc>
          <w:tcPr>
            <w:tcW w:w="2306" w:type="dxa"/>
          </w:tcPr>
          <w:p w14:paraId="4908F8CF" w14:textId="77777777" w:rsidR="00430E77" w:rsidRPr="007B6C7D" w:rsidRDefault="00430E77" w:rsidP="008E7BC3">
            <w:r>
              <w:t>SSOŠ ELBA</w:t>
            </w:r>
          </w:p>
        </w:tc>
      </w:tr>
      <w:tr w:rsidR="00430E77" w:rsidRPr="007B6C7D" w14:paraId="27E0AECA" w14:textId="77777777" w:rsidTr="008E7BC3">
        <w:trPr>
          <w:trHeight w:val="355"/>
        </w:trPr>
        <w:tc>
          <w:tcPr>
            <w:tcW w:w="544" w:type="dxa"/>
          </w:tcPr>
          <w:p w14:paraId="7AE21BD2" w14:textId="77777777" w:rsidR="00430E77" w:rsidRPr="007B6C7D" w:rsidRDefault="00430E77" w:rsidP="008E7BC3">
            <w:r>
              <w:t>5.</w:t>
            </w:r>
          </w:p>
        </w:tc>
        <w:tc>
          <w:tcPr>
            <w:tcW w:w="3935" w:type="dxa"/>
          </w:tcPr>
          <w:p w14:paraId="4F5242FF" w14:textId="77777777" w:rsidR="00430E77" w:rsidRPr="007B6C7D" w:rsidRDefault="00430E77" w:rsidP="008E7BC3">
            <w:r>
              <w:t>Ing. Matúš Grega</w:t>
            </w:r>
          </w:p>
        </w:tc>
        <w:tc>
          <w:tcPr>
            <w:tcW w:w="2427" w:type="dxa"/>
          </w:tcPr>
          <w:p w14:paraId="21E10648" w14:textId="77777777" w:rsidR="00430E77" w:rsidRPr="007B6C7D" w:rsidRDefault="00430E77" w:rsidP="008E7BC3"/>
        </w:tc>
        <w:tc>
          <w:tcPr>
            <w:tcW w:w="2306" w:type="dxa"/>
          </w:tcPr>
          <w:p w14:paraId="50BAC33C" w14:textId="77777777" w:rsidR="00430E77" w:rsidRPr="007B6C7D" w:rsidRDefault="00430E77" w:rsidP="008E7BC3">
            <w:r>
              <w:t>SSOŠ ELBA</w:t>
            </w:r>
          </w:p>
        </w:tc>
      </w:tr>
      <w:tr w:rsidR="00430E77" w:rsidRPr="007B6C7D" w14:paraId="5D7A459C" w14:textId="77777777" w:rsidTr="008E7BC3">
        <w:trPr>
          <w:trHeight w:val="355"/>
        </w:trPr>
        <w:tc>
          <w:tcPr>
            <w:tcW w:w="544" w:type="dxa"/>
          </w:tcPr>
          <w:p w14:paraId="719E34A0" w14:textId="77777777" w:rsidR="00430E77" w:rsidRPr="007B6C7D" w:rsidRDefault="00430E77" w:rsidP="008E7BC3">
            <w:r>
              <w:t>6.</w:t>
            </w:r>
          </w:p>
        </w:tc>
        <w:tc>
          <w:tcPr>
            <w:tcW w:w="3935" w:type="dxa"/>
          </w:tcPr>
          <w:p w14:paraId="5D55D5A2" w14:textId="77777777" w:rsidR="00430E77" w:rsidRPr="007B6C7D" w:rsidRDefault="00430E77" w:rsidP="008E7BC3">
            <w:r>
              <w:t>Ing. Tatiana Šefčiková</w:t>
            </w:r>
          </w:p>
        </w:tc>
        <w:tc>
          <w:tcPr>
            <w:tcW w:w="2427" w:type="dxa"/>
          </w:tcPr>
          <w:p w14:paraId="40F19D44" w14:textId="77777777" w:rsidR="00430E77" w:rsidRPr="007B6C7D" w:rsidRDefault="00430E77" w:rsidP="008E7BC3"/>
        </w:tc>
        <w:tc>
          <w:tcPr>
            <w:tcW w:w="2306" w:type="dxa"/>
          </w:tcPr>
          <w:p w14:paraId="102B0562" w14:textId="77777777" w:rsidR="00430E77" w:rsidRPr="007B6C7D" w:rsidRDefault="00430E77" w:rsidP="008E7BC3">
            <w:r>
              <w:t>SSOŠ ELBA</w:t>
            </w:r>
          </w:p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5126" w14:textId="77777777" w:rsidR="00536D42" w:rsidRDefault="00536D42" w:rsidP="00CF35D8">
      <w:pPr>
        <w:spacing w:after="0" w:line="240" w:lineRule="auto"/>
      </w:pPr>
      <w:r>
        <w:separator/>
      </w:r>
    </w:p>
  </w:endnote>
  <w:endnote w:type="continuationSeparator" w:id="0">
    <w:p w14:paraId="488E7A3B" w14:textId="77777777" w:rsidR="00536D42" w:rsidRDefault="00536D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A098" w14:textId="77777777" w:rsidR="00536D42" w:rsidRDefault="00536D42" w:rsidP="00CF35D8">
      <w:pPr>
        <w:spacing w:after="0" w:line="240" w:lineRule="auto"/>
      </w:pPr>
      <w:r>
        <w:separator/>
      </w:r>
    </w:p>
  </w:footnote>
  <w:footnote w:type="continuationSeparator" w:id="0">
    <w:p w14:paraId="22F9C779" w14:textId="77777777" w:rsidR="00536D42" w:rsidRDefault="00536D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722FF"/>
    <w:rsid w:val="000B407E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26852"/>
    <w:rsid w:val="00234F96"/>
    <w:rsid w:val="002A4CE2"/>
    <w:rsid w:val="002C432C"/>
    <w:rsid w:val="002D7F9B"/>
    <w:rsid w:val="002D7FC6"/>
    <w:rsid w:val="002E3F1A"/>
    <w:rsid w:val="00307DB0"/>
    <w:rsid w:val="0032433B"/>
    <w:rsid w:val="0034733D"/>
    <w:rsid w:val="00347FFE"/>
    <w:rsid w:val="003700F7"/>
    <w:rsid w:val="003D2B94"/>
    <w:rsid w:val="003F10E0"/>
    <w:rsid w:val="004041CD"/>
    <w:rsid w:val="00405AE8"/>
    <w:rsid w:val="00423CC3"/>
    <w:rsid w:val="00430E77"/>
    <w:rsid w:val="00433AD7"/>
    <w:rsid w:val="00446402"/>
    <w:rsid w:val="004970DE"/>
    <w:rsid w:val="004A2CA0"/>
    <w:rsid w:val="004C05D7"/>
    <w:rsid w:val="004D1C40"/>
    <w:rsid w:val="004F368A"/>
    <w:rsid w:val="005007D0"/>
    <w:rsid w:val="00500D96"/>
    <w:rsid w:val="00506031"/>
    <w:rsid w:val="00507CF5"/>
    <w:rsid w:val="005361EC"/>
    <w:rsid w:val="00536D42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D3C69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A0E"/>
    <w:rsid w:val="00963C10"/>
    <w:rsid w:val="009722C2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25D3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2021-06-02T06:24:00Z</dcterms:created>
  <dcterms:modified xsi:type="dcterms:W3CDTF">2021-06-02T06:24:00Z</dcterms:modified>
</cp:coreProperties>
</file>